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103" w:type="pct"/>
        <w:tblLook w:val="04A0" w:firstRow="1" w:lastRow="0" w:firstColumn="1" w:lastColumn="0" w:noHBand="0" w:noVBand="1"/>
      </w:tblPr>
      <w:tblGrid>
        <w:gridCol w:w="5199"/>
        <w:gridCol w:w="5200"/>
      </w:tblGrid>
      <w:tr w:rsidR="00A85B66" w:rsidRPr="00A85B66" w:rsidTr="00A85B66">
        <w:tc>
          <w:tcPr>
            <w:tcW w:w="2500" w:type="pct"/>
          </w:tcPr>
          <w:p w:rsidR="00A85B66" w:rsidRPr="00A85B66" w:rsidRDefault="00A85B66" w:rsidP="00A85B66">
            <w:pPr>
              <w:pStyle w:val="Bullet"/>
              <w:jc w:val="both"/>
              <w:rPr>
                <w:b/>
                <w:color w:val="auto"/>
                <w:sz w:val="22"/>
              </w:rPr>
            </w:pPr>
            <w:r>
              <w:rPr>
                <w:b/>
                <w:color w:val="auto"/>
                <w:sz w:val="22"/>
              </w:rPr>
              <w:t>ОРИГИНАЛ</w:t>
            </w:r>
          </w:p>
        </w:tc>
        <w:tc>
          <w:tcPr>
            <w:tcW w:w="2500" w:type="pct"/>
          </w:tcPr>
          <w:p w:rsidR="00A85B66" w:rsidRPr="00A85B66" w:rsidRDefault="00A85B66" w:rsidP="00A85B66">
            <w:pPr>
              <w:pStyle w:val="Bullet"/>
              <w:jc w:val="both"/>
              <w:rPr>
                <w:b/>
                <w:color w:val="auto"/>
                <w:sz w:val="22"/>
              </w:rPr>
            </w:pPr>
            <w:r>
              <w:rPr>
                <w:b/>
                <w:color w:val="auto"/>
                <w:sz w:val="22"/>
              </w:rPr>
              <w:t>ПЕРЕВОД</w:t>
            </w:r>
          </w:p>
        </w:tc>
      </w:tr>
      <w:tr w:rsidR="00A85B66" w:rsidRPr="00A85B66" w:rsidTr="00A85B66">
        <w:tc>
          <w:tcPr>
            <w:tcW w:w="2500" w:type="pct"/>
          </w:tcPr>
          <w:p w:rsidR="00A85B66" w:rsidRPr="00A85B66" w:rsidRDefault="00A85B66" w:rsidP="00A85B66">
            <w:pPr>
              <w:pStyle w:val="Bullet"/>
              <w:jc w:val="both"/>
              <w:rPr>
                <w:b/>
                <w:color w:val="auto"/>
                <w:sz w:val="22"/>
              </w:rPr>
            </w:pPr>
            <w:r w:rsidRPr="00A85B66">
              <w:rPr>
                <w:b/>
                <w:color w:val="auto"/>
                <w:sz w:val="22"/>
              </w:rPr>
              <w:t>OVERVIEW</w:t>
            </w:r>
          </w:p>
          <w:p w:rsidR="00A85B66" w:rsidRPr="00A85B66" w:rsidRDefault="00A85B66" w:rsidP="00A85B66">
            <w:pPr>
              <w:pStyle w:val="Bullet"/>
              <w:jc w:val="both"/>
              <w:rPr>
                <w:color w:val="auto"/>
                <w:sz w:val="22"/>
              </w:rPr>
            </w:pPr>
            <w:r w:rsidRPr="00A85B66">
              <w:rPr>
                <w:color w:val="auto"/>
                <w:sz w:val="22"/>
              </w:rPr>
              <w:t>Dentons represents clients globally in cross-border mergers, acquisitions, leveraged buyouts and corporate restructurings.  Our cross-border expertise and in-depth knowledge of Ukrainian legislation, as well as our commitment and client-tailored approach, allow us to provide you with innovative and seamless legal solutions of the highest quality.</w:t>
            </w:r>
          </w:p>
          <w:p w:rsidR="00A85B66" w:rsidRPr="00A85B66" w:rsidRDefault="00A85B66" w:rsidP="00A85B66">
            <w:pPr>
              <w:pStyle w:val="Bullet"/>
              <w:jc w:val="both"/>
              <w:rPr>
                <w:color w:val="auto"/>
                <w:sz w:val="22"/>
              </w:rPr>
            </w:pPr>
          </w:p>
          <w:p w:rsidR="00A85B66" w:rsidRPr="00A85B66" w:rsidRDefault="00A85B66" w:rsidP="00A85B66">
            <w:pPr>
              <w:pStyle w:val="Bullet"/>
              <w:spacing w:before="360"/>
              <w:ind w:left="357" w:hanging="357"/>
              <w:jc w:val="both"/>
              <w:rPr>
                <w:color w:val="auto"/>
                <w:sz w:val="22"/>
              </w:rPr>
            </w:pPr>
            <w:r w:rsidRPr="00A85B66">
              <w:rPr>
                <w:color w:val="auto"/>
                <w:sz w:val="22"/>
              </w:rPr>
              <w:t>We have worked on some of the largest European and other cross-border transactions and regularly advise on acquisitions, investments, and related tax structures in Europe and the US. We are particularly active in acquisitions, corporate restructuring and privatisation work in the CIS and CEE, with an emphasis on creative capital structures.  We support privately-held and public companies, multinational corporations, financial institutions, investment funds, start-ups, private investors and entrepreneurs in a wide variety of businesses.</w:t>
            </w:r>
          </w:p>
          <w:p w:rsidR="00A85B66" w:rsidRPr="00A85B66" w:rsidRDefault="00A85B66" w:rsidP="00A85B66">
            <w:pPr>
              <w:pStyle w:val="Bullet"/>
              <w:jc w:val="both"/>
              <w:rPr>
                <w:color w:val="auto"/>
                <w:sz w:val="22"/>
              </w:rPr>
            </w:pPr>
          </w:p>
          <w:p w:rsidR="00A85B66" w:rsidRPr="00A85B66" w:rsidRDefault="00A85B66" w:rsidP="00A85B66">
            <w:pPr>
              <w:pStyle w:val="Bullet"/>
              <w:ind w:left="357" w:hanging="357"/>
              <w:jc w:val="both"/>
              <w:rPr>
                <w:color w:val="auto"/>
                <w:sz w:val="22"/>
              </w:rPr>
            </w:pPr>
            <w:r w:rsidRPr="00A85B66">
              <w:rPr>
                <w:color w:val="auto"/>
                <w:sz w:val="22"/>
              </w:rPr>
              <w:t>We work closely with executives, consultants, bankers and other professionals to develop acquisition and disposition strategies, tax strategies and reorganisation plans, and to address relevant structuring issues and antitrust concerns.  Our lawyers specialize in negotiating and preparing acquisition agreements of all types, as well as the related financing and ancillary documents. We are able to bring our extensive experience to work for you in organizing and coordinating substantial, multijurisdictional transactions, including large-scale due diligence investigations.</w:t>
            </w:r>
          </w:p>
          <w:p w:rsidR="00A85B66" w:rsidRPr="00A85B66" w:rsidRDefault="00A85B66" w:rsidP="00A85B66">
            <w:pPr>
              <w:pStyle w:val="Bullet"/>
              <w:jc w:val="both"/>
              <w:rPr>
                <w:color w:val="auto"/>
                <w:sz w:val="22"/>
              </w:rPr>
            </w:pPr>
            <w:r w:rsidRPr="00A85B66">
              <w:rPr>
                <w:color w:val="auto"/>
                <w:sz w:val="22"/>
              </w:rPr>
              <w:t xml:space="preserve">Lawyers in our Kyiv office regularly engage in negotiations on behalf of our clients with governmental institutions such as the State Property Fund, Anti-Monopoly Committee, National Bank and State Securities and Stock </w:t>
            </w:r>
            <w:r w:rsidRPr="00A85B66">
              <w:rPr>
                <w:color w:val="auto"/>
                <w:sz w:val="22"/>
              </w:rPr>
              <w:lastRenderedPageBreak/>
              <w:t>Market Commission.</w:t>
            </w:r>
          </w:p>
          <w:p w:rsidR="00A85B66" w:rsidRPr="00A85B66" w:rsidRDefault="00A85B66" w:rsidP="00A85B66">
            <w:pPr>
              <w:pStyle w:val="Bullet"/>
              <w:jc w:val="both"/>
              <w:rPr>
                <w:color w:val="auto"/>
                <w:sz w:val="22"/>
              </w:rPr>
            </w:pPr>
            <w:r w:rsidRPr="00A85B66">
              <w:rPr>
                <w:color w:val="auto"/>
                <w:sz w:val="22"/>
              </w:rPr>
              <w:t xml:space="preserve">Dentons (formerly Salans) has been active in Ukraine since 1988, when we assisted a multinational client in creating one of the first joint ventures in Ukraine.  The Kyiv office was officially opened in 1992.  Since then we have expanded with the addition of both Western-trained and Ukrainian lawyers and partners, as well as staff from the firm’s London, Paris, New York and Frankfurt offices dividing their time between those offices and Kyiv, in order to best meet the needs of our global clients. Today our Kyiv office employs </w:t>
            </w:r>
            <w:r w:rsidRPr="00A85B66">
              <w:rPr>
                <w:color w:val="auto"/>
                <w:sz w:val="22"/>
                <w:lang w:val="en-US"/>
              </w:rPr>
              <w:t>27</w:t>
            </w:r>
            <w:r w:rsidRPr="00A85B66">
              <w:rPr>
                <w:color w:val="auto"/>
                <w:sz w:val="22"/>
              </w:rPr>
              <w:t xml:space="preserve"> lawyers, including seven partners, dedicated fulltime to our Ukrainian practice. </w:t>
            </w: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p>
          <w:p w:rsidR="00A85B66" w:rsidRPr="00A85B66" w:rsidRDefault="00A85B66" w:rsidP="00A85B66">
            <w:pPr>
              <w:pStyle w:val="Bullet"/>
              <w:jc w:val="both"/>
              <w:rPr>
                <w:b/>
                <w:color w:val="auto"/>
                <w:sz w:val="22"/>
              </w:rPr>
            </w:pPr>
          </w:p>
          <w:p w:rsidR="00A85B66" w:rsidRPr="00A85B66" w:rsidRDefault="00A85B66" w:rsidP="00A85B66">
            <w:pPr>
              <w:pStyle w:val="Bullet"/>
              <w:ind w:left="357" w:hanging="357"/>
              <w:jc w:val="both"/>
              <w:rPr>
                <w:b/>
                <w:color w:val="auto"/>
                <w:sz w:val="22"/>
              </w:rPr>
            </w:pPr>
            <w:r w:rsidRPr="00A85B66">
              <w:rPr>
                <w:b/>
                <w:color w:val="auto"/>
                <w:sz w:val="22"/>
              </w:rPr>
              <w:t>WHAT OTHERS SAY</w:t>
            </w:r>
          </w:p>
          <w:p w:rsidR="00A85B66" w:rsidRPr="00A85B66" w:rsidRDefault="00A85B66" w:rsidP="00A85B66">
            <w:pPr>
              <w:pStyle w:val="Bullet"/>
              <w:jc w:val="both"/>
              <w:rPr>
                <w:bCs/>
                <w:i/>
                <w:color w:val="auto"/>
                <w:sz w:val="22"/>
              </w:rPr>
            </w:pPr>
            <w:r w:rsidRPr="00A85B66">
              <w:rPr>
                <w:color w:val="auto"/>
                <w:sz w:val="22"/>
              </w:rPr>
              <w:t xml:space="preserve">The Kyiv office’ Corporate/M&amp;A practice is highly ranked by the leading international legal directories </w:t>
            </w:r>
            <w:r w:rsidRPr="00A85B66">
              <w:rPr>
                <w:i/>
                <w:color w:val="auto"/>
                <w:sz w:val="22"/>
              </w:rPr>
              <w:t>The</w:t>
            </w:r>
            <w:r w:rsidRPr="00A85B66">
              <w:rPr>
                <w:color w:val="auto"/>
                <w:sz w:val="22"/>
              </w:rPr>
              <w:t xml:space="preserve"> </w:t>
            </w:r>
            <w:r w:rsidRPr="00A85B66">
              <w:rPr>
                <w:i/>
                <w:color w:val="auto"/>
                <w:sz w:val="22"/>
              </w:rPr>
              <w:t xml:space="preserve">Legal 500, Chambers Global </w:t>
            </w:r>
            <w:r w:rsidRPr="00A85B66">
              <w:rPr>
                <w:color w:val="auto"/>
                <w:sz w:val="22"/>
              </w:rPr>
              <w:t xml:space="preserve">and </w:t>
            </w:r>
            <w:r w:rsidRPr="00A85B66">
              <w:rPr>
                <w:i/>
                <w:color w:val="auto"/>
                <w:sz w:val="22"/>
              </w:rPr>
              <w:t>Chambers Europe</w:t>
            </w:r>
            <w:r w:rsidRPr="00A85B66">
              <w:rPr>
                <w:color w:val="auto"/>
                <w:sz w:val="22"/>
              </w:rPr>
              <w:t xml:space="preserve"> in Corporate/M&amp;A. Our Corporate/M&amp;A practice in Ukraine is also recommended by such international legal directories as </w:t>
            </w:r>
            <w:r w:rsidRPr="00A85B66">
              <w:rPr>
                <w:i/>
                <w:color w:val="auto"/>
                <w:sz w:val="22"/>
              </w:rPr>
              <w:t xml:space="preserve">IFLR1000 </w:t>
            </w:r>
            <w:r w:rsidRPr="00A85B66">
              <w:rPr>
                <w:color w:val="auto"/>
                <w:sz w:val="22"/>
              </w:rPr>
              <w:t>and</w:t>
            </w:r>
            <w:r w:rsidRPr="00A85B66">
              <w:rPr>
                <w:i/>
                <w:color w:val="auto"/>
                <w:sz w:val="22"/>
              </w:rPr>
              <w:t xml:space="preserve"> </w:t>
            </w:r>
            <w:r w:rsidRPr="00A85B66">
              <w:rPr>
                <w:bCs/>
                <w:i/>
                <w:color w:val="auto"/>
                <w:sz w:val="22"/>
              </w:rPr>
              <w:t>PLC Which lawyer?</w:t>
            </w:r>
          </w:p>
          <w:p w:rsidR="00A85B66" w:rsidRPr="00A85B66" w:rsidRDefault="00A85B66" w:rsidP="00A85B66">
            <w:pPr>
              <w:pStyle w:val="Bullet"/>
              <w:jc w:val="both"/>
              <w:rPr>
                <w:iCs/>
                <w:color w:val="auto"/>
                <w:sz w:val="22"/>
              </w:rPr>
            </w:pPr>
            <w:r w:rsidRPr="00A85B66">
              <w:rPr>
                <w:iCs/>
                <w:color w:val="auto"/>
                <w:sz w:val="22"/>
              </w:rPr>
              <w:t xml:space="preserve">“Dentons’ [Corporate and M&amp;A] team is ‘practical and client-oriented.’ Markian Silecky is ‘superb.’ Practice head Oleg Batyuk, who advised TVEL Nuclear Fuel on establishing a production plant in Ukraine, and Volodymyr Monastyrskyy are recommended.” </w:t>
            </w:r>
            <w:r w:rsidRPr="00A85B66">
              <w:rPr>
                <w:iCs/>
                <w:color w:val="auto"/>
                <w:sz w:val="22"/>
              </w:rPr>
              <w:br/>
              <w:t xml:space="preserve">– </w:t>
            </w:r>
            <w:r w:rsidRPr="00A85B66">
              <w:rPr>
                <w:i/>
                <w:color w:val="auto"/>
                <w:sz w:val="22"/>
              </w:rPr>
              <w:t>The</w:t>
            </w:r>
            <w:r w:rsidRPr="00A85B66">
              <w:rPr>
                <w:color w:val="auto"/>
                <w:sz w:val="22"/>
              </w:rPr>
              <w:t xml:space="preserve"> </w:t>
            </w:r>
            <w:r w:rsidRPr="00A85B66">
              <w:rPr>
                <w:i/>
                <w:color w:val="auto"/>
                <w:sz w:val="22"/>
              </w:rPr>
              <w:t>Legal 500</w:t>
            </w:r>
            <w:r w:rsidRPr="00A85B66">
              <w:rPr>
                <w:iCs/>
                <w:color w:val="auto"/>
                <w:sz w:val="22"/>
              </w:rPr>
              <w:t>, 2014</w:t>
            </w:r>
          </w:p>
          <w:p w:rsidR="00A85B66" w:rsidRPr="00A85B66" w:rsidRDefault="00A85B66" w:rsidP="00A85B66">
            <w:pPr>
              <w:pStyle w:val="Bullet"/>
              <w:jc w:val="both"/>
              <w:rPr>
                <w:iCs/>
                <w:color w:val="auto"/>
                <w:sz w:val="22"/>
              </w:rPr>
            </w:pPr>
            <w:r w:rsidRPr="00A85B66">
              <w:rPr>
                <w:iCs/>
                <w:color w:val="auto"/>
                <w:sz w:val="22"/>
              </w:rPr>
              <w:t xml:space="preserve">“Oleg Batyuk is a ‘very intelligent, experienced and reliable’ lawyer, say market sources. Others suggest he is ‘one of the best corporate lawyers in </w:t>
            </w:r>
            <w:r w:rsidRPr="00A85B66">
              <w:rPr>
                <w:iCs/>
                <w:color w:val="auto"/>
                <w:sz w:val="22"/>
              </w:rPr>
              <w:lastRenderedPageBreak/>
              <w:t xml:space="preserve">the region. ’” </w:t>
            </w:r>
            <w:r w:rsidRPr="00A85B66">
              <w:rPr>
                <w:iCs/>
                <w:color w:val="auto"/>
                <w:sz w:val="22"/>
              </w:rPr>
              <w:br/>
              <w:t xml:space="preserve">– </w:t>
            </w:r>
            <w:r w:rsidRPr="00A85B66">
              <w:rPr>
                <w:i/>
                <w:iCs/>
                <w:color w:val="auto"/>
                <w:sz w:val="22"/>
              </w:rPr>
              <w:t>Chambers Global</w:t>
            </w:r>
            <w:r w:rsidRPr="00A85B66">
              <w:rPr>
                <w:iCs/>
                <w:color w:val="auto"/>
                <w:sz w:val="22"/>
              </w:rPr>
              <w:t>, 2014</w:t>
            </w:r>
          </w:p>
          <w:p w:rsidR="00A85B66" w:rsidRPr="00A85B66" w:rsidRDefault="00A85B66" w:rsidP="00A85B66">
            <w:pPr>
              <w:pStyle w:val="Bullet"/>
              <w:jc w:val="both"/>
              <w:rPr>
                <w:iCs/>
                <w:color w:val="auto"/>
                <w:sz w:val="22"/>
              </w:rPr>
            </w:pPr>
            <w:r w:rsidRPr="00A85B66">
              <w:rPr>
                <w:iCs/>
                <w:color w:val="auto"/>
                <w:sz w:val="22"/>
              </w:rPr>
              <w:t>“This strong team is recommended for its long-standing experience in the market, and regularly assists a number of loyal international clients. …</w:t>
            </w:r>
            <w:r w:rsidRPr="00A85B66">
              <w:rPr>
                <w:color w:val="auto"/>
                <w:sz w:val="22"/>
              </w:rPr>
              <w:t xml:space="preserve"> </w:t>
            </w:r>
            <w:r w:rsidRPr="00A85B66">
              <w:rPr>
                <w:iCs/>
                <w:color w:val="auto"/>
                <w:sz w:val="22"/>
              </w:rPr>
              <w:t>The practice draws on the strength of the firm's real estate department, and is highly active in energy and agricultural projects.”</w:t>
            </w:r>
            <w:r w:rsidRPr="00A85B66">
              <w:rPr>
                <w:i/>
                <w:iCs/>
                <w:color w:val="auto"/>
                <w:sz w:val="22"/>
              </w:rPr>
              <w:t xml:space="preserve"> </w:t>
            </w:r>
            <w:r w:rsidRPr="00A85B66">
              <w:rPr>
                <w:iCs/>
                <w:color w:val="auto"/>
                <w:sz w:val="22"/>
              </w:rPr>
              <w:br/>
              <w:t xml:space="preserve">– </w:t>
            </w:r>
            <w:r w:rsidRPr="00A85B66">
              <w:rPr>
                <w:i/>
                <w:iCs/>
                <w:color w:val="auto"/>
                <w:sz w:val="22"/>
              </w:rPr>
              <w:t>Chambers Europe</w:t>
            </w:r>
            <w:r w:rsidRPr="00A85B66">
              <w:rPr>
                <w:iCs/>
                <w:color w:val="auto"/>
                <w:sz w:val="22"/>
              </w:rPr>
              <w:t>, 2013</w:t>
            </w:r>
          </w:p>
          <w:p w:rsidR="00A85B66" w:rsidRPr="00A85B66" w:rsidRDefault="00A85B66" w:rsidP="00A85B66">
            <w:pPr>
              <w:pStyle w:val="Bullet"/>
              <w:jc w:val="both"/>
              <w:rPr>
                <w:iCs/>
                <w:color w:val="auto"/>
                <w:sz w:val="22"/>
              </w:rPr>
            </w:pPr>
            <w:r w:rsidRPr="00A85B66">
              <w:rPr>
                <w:iCs/>
                <w:color w:val="auto"/>
                <w:sz w:val="22"/>
              </w:rPr>
              <w:t>“Dentons ‘scores highly on every measure and for its ability to integrate with internal teams’. Oleg Batyuk and Markian Silecky have ‘a strong understanding of Ukrainian law.’”</w:t>
            </w:r>
            <w:r w:rsidRPr="00A85B66">
              <w:rPr>
                <w:iCs/>
                <w:color w:val="auto"/>
                <w:sz w:val="22"/>
              </w:rPr>
              <w:br/>
              <w:t xml:space="preserve">– </w:t>
            </w:r>
            <w:r w:rsidRPr="00A85B66">
              <w:rPr>
                <w:i/>
                <w:color w:val="auto"/>
                <w:sz w:val="22"/>
              </w:rPr>
              <w:t>The</w:t>
            </w:r>
            <w:r w:rsidRPr="00A85B66">
              <w:rPr>
                <w:color w:val="auto"/>
                <w:sz w:val="22"/>
              </w:rPr>
              <w:t xml:space="preserve"> </w:t>
            </w:r>
            <w:r w:rsidRPr="00A85B66">
              <w:rPr>
                <w:i/>
                <w:color w:val="auto"/>
                <w:sz w:val="22"/>
              </w:rPr>
              <w:t>Legal 500</w:t>
            </w:r>
            <w:r w:rsidRPr="00A85B66">
              <w:rPr>
                <w:iCs/>
                <w:color w:val="auto"/>
                <w:sz w:val="22"/>
              </w:rPr>
              <w:t>, 2013</w:t>
            </w:r>
          </w:p>
          <w:p w:rsidR="00A85B66" w:rsidRPr="00A85B66" w:rsidRDefault="00A85B66" w:rsidP="00A85B66">
            <w:pPr>
              <w:pStyle w:val="Bullet"/>
              <w:jc w:val="both"/>
              <w:rPr>
                <w:iCs/>
                <w:color w:val="auto"/>
                <w:sz w:val="22"/>
              </w:rPr>
            </w:pPr>
            <w:r w:rsidRPr="00A85B66">
              <w:rPr>
                <w:iCs/>
                <w:color w:val="auto"/>
                <w:sz w:val="22"/>
              </w:rPr>
              <w:t>“Sources say: ‘It understood our problems and delivered detailed responses.’ ‘I liked the quality and price ratio.’”</w:t>
            </w:r>
            <w:r w:rsidRPr="00A85B66">
              <w:rPr>
                <w:i/>
                <w:iCs/>
                <w:color w:val="auto"/>
                <w:sz w:val="22"/>
              </w:rPr>
              <w:t xml:space="preserve"> </w:t>
            </w:r>
            <w:r w:rsidRPr="00A85B66">
              <w:rPr>
                <w:iCs/>
                <w:color w:val="auto"/>
                <w:sz w:val="22"/>
              </w:rPr>
              <w:br/>
              <w:t xml:space="preserve">– </w:t>
            </w:r>
            <w:r w:rsidRPr="00A85B66">
              <w:rPr>
                <w:i/>
                <w:iCs/>
                <w:color w:val="auto"/>
                <w:sz w:val="22"/>
              </w:rPr>
              <w:t>Chambers Europe</w:t>
            </w:r>
            <w:r w:rsidRPr="00A85B66">
              <w:rPr>
                <w:iCs/>
                <w:color w:val="auto"/>
                <w:sz w:val="22"/>
              </w:rPr>
              <w:t>, 2013</w:t>
            </w:r>
          </w:p>
          <w:p w:rsidR="00A85B66" w:rsidRPr="00A85B66" w:rsidRDefault="00A85B66" w:rsidP="00A85B66">
            <w:pPr>
              <w:pStyle w:val="Bullet"/>
              <w:jc w:val="both"/>
              <w:rPr>
                <w:iCs/>
                <w:color w:val="auto"/>
                <w:sz w:val="22"/>
              </w:rPr>
            </w:pPr>
            <w:r w:rsidRPr="00A85B66">
              <w:rPr>
                <w:iCs/>
                <w:color w:val="auto"/>
                <w:sz w:val="22"/>
              </w:rPr>
              <w:t>“Managing partner Oleg Batyuk is one of Ukraine's most experienced and prominent transactional lawyers. ‘He really used his knowledge of market practice to solve our issues’, confirmed a client.”</w:t>
            </w:r>
            <w:r w:rsidRPr="00A85B66">
              <w:rPr>
                <w:i/>
                <w:iCs/>
                <w:color w:val="auto"/>
                <w:sz w:val="22"/>
              </w:rPr>
              <w:t xml:space="preserve"> </w:t>
            </w:r>
            <w:r w:rsidRPr="00A85B66">
              <w:rPr>
                <w:iCs/>
                <w:color w:val="auto"/>
                <w:sz w:val="22"/>
              </w:rPr>
              <w:br/>
              <w:t xml:space="preserve">– </w:t>
            </w:r>
            <w:r w:rsidRPr="00A85B66">
              <w:rPr>
                <w:i/>
                <w:iCs/>
                <w:color w:val="auto"/>
                <w:sz w:val="22"/>
              </w:rPr>
              <w:t>Chambers Global</w:t>
            </w:r>
            <w:r w:rsidRPr="00A85B66">
              <w:rPr>
                <w:iCs/>
                <w:color w:val="auto"/>
                <w:sz w:val="22"/>
              </w:rPr>
              <w:t>, 2013</w:t>
            </w:r>
          </w:p>
          <w:p w:rsidR="00A85B66" w:rsidRPr="00A85B66" w:rsidRDefault="00A85B66" w:rsidP="00A85B66">
            <w:pPr>
              <w:pStyle w:val="Bullet"/>
              <w:jc w:val="both"/>
              <w:rPr>
                <w:iCs/>
                <w:color w:val="auto"/>
                <w:sz w:val="22"/>
              </w:rPr>
            </w:pPr>
            <w:r w:rsidRPr="00A85B66">
              <w:rPr>
                <w:iCs/>
                <w:color w:val="auto"/>
                <w:sz w:val="22"/>
              </w:rPr>
              <w:t>“Myron Bohdan Rabij is a ‘veteran in the market: he has a very strong track record and is a high-quality lawyer.’ Shifting from his historical focus on real estate, recently he predominantly handles energy deals.”</w:t>
            </w:r>
            <w:r w:rsidRPr="00A85B66">
              <w:rPr>
                <w:i/>
                <w:iCs/>
                <w:color w:val="auto"/>
                <w:sz w:val="22"/>
              </w:rPr>
              <w:t xml:space="preserve"> </w:t>
            </w:r>
            <w:r w:rsidRPr="00A85B66">
              <w:rPr>
                <w:iCs/>
                <w:color w:val="auto"/>
                <w:sz w:val="22"/>
              </w:rPr>
              <w:br/>
              <w:t xml:space="preserve">– </w:t>
            </w:r>
            <w:r w:rsidRPr="00A85B66">
              <w:rPr>
                <w:i/>
                <w:iCs/>
                <w:color w:val="auto"/>
                <w:sz w:val="22"/>
              </w:rPr>
              <w:t>Chambers Global</w:t>
            </w:r>
            <w:r w:rsidRPr="00A85B66">
              <w:rPr>
                <w:iCs/>
                <w:color w:val="auto"/>
                <w:sz w:val="22"/>
              </w:rPr>
              <w:t>, 2013</w:t>
            </w:r>
          </w:p>
          <w:p w:rsidR="00A85B66" w:rsidRPr="00A85B66" w:rsidRDefault="00A85B66" w:rsidP="00A85B66">
            <w:pPr>
              <w:pStyle w:val="Bullet"/>
              <w:tabs>
                <w:tab w:val="num" w:pos="360"/>
              </w:tabs>
              <w:ind w:left="0" w:firstLine="0"/>
              <w:jc w:val="both"/>
              <w:rPr>
                <w:b/>
                <w:color w:val="auto"/>
                <w:sz w:val="22"/>
              </w:rPr>
            </w:pPr>
          </w:p>
          <w:p w:rsidR="00A85B66" w:rsidRPr="00A85B66" w:rsidRDefault="00A85B66" w:rsidP="00A85B66">
            <w:pPr>
              <w:pStyle w:val="Bullet"/>
              <w:tabs>
                <w:tab w:val="num" w:pos="360"/>
              </w:tabs>
              <w:ind w:left="0" w:firstLine="0"/>
              <w:jc w:val="both"/>
              <w:rPr>
                <w:b/>
                <w:color w:val="auto"/>
                <w:sz w:val="22"/>
              </w:rPr>
            </w:pPr>
          </w:p>
          <w:p w:rsidR="00A85B66" w:rsidRPr="00A85B66" w:rsidRDefault="00A85B66" w:rsidP="00A85B66">
            <w:pPr>
              <w:pStyle w:val="Bullet"/>
              <w:tabs>
                <w:tab w:val="num" w:pos="360"/>
              </w:tabs>
              <w:ind w:left="0" w:firstLine="0"/>
              <w:jc w:val="both"/>
              <w:rPr>
                <w:b/>
                <w:color w:val="auto"/>
                <w:sz w:val="22"/>
              </w:rPr>
            </w:pPr>
          </w:p>
          <w:p w:rsidR="00A85B66" w:rsidRPr="00A85B66" w:rsidRDefault="00A85B66" w:rsidP="00A85B66">
            <w:pPr>
              <w:pStyle w:val="Bullet"/>
              <w:tabs>
                <w:tab w:val="num" w:pos="360"/>
              </w:tabs>
              <w:ind w:left="0" w:firstLine="0"/>
              <w:jc w:val="both"/>
              <w:rPr>
                <w:b/>
                <w:color w:val="auto"/>
                <w:sz w:val="22"/>
              </w:rPr>
            </w:pPr>
          </w:p>
          <w:p w:rsidR="00A85B66" w:rsidRPr="00A85B66" w:rsidRDefault="00A85B66" w:rsidP="00A85B66">
            <w:pPr>
              <w:pStyle w:val="Bullet"/>
              <w:tabs>
                <w:tab w:val="num" w:pos="360"/>
              </w:tabs>
              <w:ind w:left="0" w:firstLine="0"/>
              <w:jc w:val="both"/>
              <w:rPr>
                <w:b/>
                <w:color w:val="auto"/>
                <w:sz w:val="22"/>
              </w:rPr>
            </w:pPr>
          </w:p>
          <w:p w:rsidR="00A85B66" w:rsidRPr="00A85B66" w:rsidRDefault="00A85B66" w:rsidP="00A85B66">
            <w:pPr>
              <w:pStyle w:val="Bullet"/>
              <w:tabs>
                <w:tab w:val="num" w:pos="360"/>
              </w:tabs>
              <w:ind w:left="0" w:firstLine="0"/>
              <w:jc w:val="both"/>
              <w:rPr>
                <w:b/>
                <w:color w:val="auto"/>
                <w:sz w:val="22"/>
              </w:rPr>
            </w:pPr>
          </w:p>
          <w:p w:rsidR="00A85B66" w:rsidRPr="00A85B66" w:rsidRDefault="00A85B66" w:rsidP="00A85B66">
            <w:pPr>
              <w:pStyle w:val="Bullet"/>
              <w:tabs>
                <w:tab w:val="num" w:pos="360"/>
              </w:tabs>
              <w:ind w:left="0" w:firstLine="0"/>
              <w:jc w:val="both"/>
              <w:rPr>
                <w:b/>
                <w:color w:val="auto"/>
                <w:sz w:val="22"/>
              </w:rPr>
            </w:pPr>
            <w:r w:rsidRPr="00A85B66">
              <w:rPr>
                <w:b/>
                <w:color w:val="auto"/>
                <w:sz w:val="22"/>
              </w:rPr>
              <w:t>REPRESENTATIVE EXPERIENCE</w:t>
            </w:r>
          </w:p>
          <w:p w:rsidR="00A85B66" w:rsidRPr="00A85B66" w:rsidRDefault="00A85B66" w:rsidP="00A85B66">
            <w:pPr>
              <w:pStyle w:val="Bullet"/>
              <w:jc w:val="both"/>
              <w:rPr>
                <w:color w:val="auto"/>
                <w:sz w:val="22"/>
              </w:rPr>
            </w:pPr>
            <w:r w:rsidRPr="00A85B66">
              <w:rPr>
                <w:b/>
                <w:color w:val="auto"/>
                <w:sz w:val="22"/>
              </w:rPr>
              <w:t>A Russia-based</w:t>
            </w:r>
            <w:r w:rsidRPr="00A85B66">
              <w:rPr>
                <w:color w:val="auto"/>
                <w:sz w:val="22"/>
              </w:rPr>
              <w:t xml:space="preserve"> </w:t>
            </w:r>
            <w:r w:rsidRPr="00A85B66">
              <w:rPr>
                <w:b/>
                <w:color w:val="auto"/>
                <w:sz w:val="22"/>
              </w:rPr>
              <w:t>TVEL Nuclear Fuel Company</w:t>
            </w:r>
            <w:r w:rsidRPr="00A85B66">
              <w:rPr>
                <w:color w:val="auto"/>
                <w:sz w:val="22"/>
              </w:rPr>
              <w:t xml:space="preserve">, a global leader in nuclear fuel production and </w:t>
            </w:r>
            <w:r w:rsidRPr="00A85B66">
              <w:rPr>
                <w:color w:val="auto"/>
                <w:sz w:val="22"/>
              </w:rPr>
              <w:lastRenderedPageBreak/>
              <w:t>technology (up to 17 percent of the global market): Advising in connection with the construction of a nuclear fuel production plant in Ukraine.  The project involves legal advice and assistance on various corporate matters in Ukraine, including establishing a Joint Stock Company “Nuclear Fuel Production Plant” in Ukraine (established by TVEL Nuclear Fuel Company and its Ukrainian partner in this project Ukrainian State Concern “Nuclear Fuel”), preparation of the Framework Agreement between the parties, loan agreement, and legal advice on corporate governance matters in Ukraine, as well legal advice on competition law issues stemming from setting up a JV in Ukraine.</w:t>
            </w: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r w:rsidRPr="00A85B66">
              <w:rPr>
                <w:b/>
                <w:color w:val="auto"/>
                <w:sz w:val="22"/>
              </w:rPr>
              <w:t>3P International Energy Corporation</w:t>
            </w:r>
            <w:r w:rsidRPr="00A85B66">
              <w:rPr>
                <w:color w:val="auto"/>
                <w:sz w:val="22"/>
              </w:rPr>
              <w:t>: Advising on the US$17 million acquisition of JSC Tysagaz; the project involved legal due diligence of the target company, transaction structuring and filing for the approval of the Antimonopoly Committee of Ukraine.</w:t>
            </w: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r w:rsidRPr="00A85B66">
              <w:rPr>
                <w:b/>
                <w:color w:val="auto"/>
                <w:sz w:val="22"/>
              </w:rPr>
              <w:t>Noble Group</w:t>
            </w:r>
            <w:r w:rsidRPr="00A85B66">
              <w:rPr>
                <w:color w:val="auto"/>
                <w:sz w:val="22"/>
              </w:rPr>
              <w:t>: Advising on the acquisition of Belgravia LLC, a Ukrainian company owning grain elevator facilities in Ukraine; with this acquisition Noble Group expands its storage and operations capacities in Ukraine.  Our lawyers assisted the client with due diligence of assets in Ukraine, preparing transaction documents and closing the transaction.</w:t>
            </w:r>
          </w:p>
          <w:p w:rsidR="00A85B66" w:rsidRPr="00A85B66" w:rsidRDefault="00A85B66" w:rsidP="00A85B66">
            <w:pPr>
              <w:pStyle w:val="Bullet"/>
              <w:jc w:val="both"/>
              <w:rPr>
                <w:color w:val="auto"/>
                <w:sz w:val="22"/>
              </w:rPr>
            </w:pPr>
          </w:p>
          <w:p w:rsidR="00A85B66" w:rsidRPr="00A85B66" w:rsidRDefault="00A85B66" w:rsidP="00A85B66">
            <w:pPr>
              <w:pStyle w:val="Bullet"/>
              <w:jc w:val="both"/>
              <w:rPr>
                <w:color w:val="auto"/>
                <w:sz w:val="22"/>
              </w:rPr>
            </w:pPr>
            <w:r w:rsidRPr="00A85B66">
              <w:rPr>
                <w:color w:val="auto"/>
                <w:sz w:val="22"/>
              </w:rPr>
              <w:t xml:space="preserve">The founders of </w:t>
            </w:r>
            <w:r w:rsidRPr="00A85B66">
              <w:rPr>
                <w:b/>
                <w:color w:val="auto"/>
                <w:sz w:val="22"/>
              </w:rPr>
              <w:t>Prime Group</w:t>
            </w:r>
            <w:r w:rsidRPr="00A85B66">
              <w:rPr>
                <w:color w:val="auto"/>
                <w:sz w:val="22"/>
              </w:rPr>
              <w:t>, one of Ukraine’s leading outdoor advertising operators: Advising on an investment from Europe Virgin Fund L.P. (‘EVF’), a private equity fund sponsored by Dragon Capital.</w:t>
            </w:r>
          </w:p>
          <w:p w:rsidR="00A85B66" w:rsidRPr="00A85B66" w:rsidRDefault="00A85B66" w:rsidP="00A85B66">
            <w:pPr>
              <w:pStyle w:val="Bullet"/>
              <w:jc w:val="both"/>
              <w:rPr>
                <w:color w:val="auto"/>
                <w:sz w:val="22"/>
              </w:rPr>
            </w:pPr>
          </w:p>
        </w:tc>
        <w:tc>
          <w:tcPr>
            <w:tcW w:w="2500" w:type="pct"/>
          </w:tcPr>
          <w:p w:rsidR="00A85B66" w:rsidRPr="00A85B66" w:rsidRDefault="00A85B66" w:rsidP="00A85B66">
            <w:pPr>
              <w:pStyle w:val="Bullet"/>
              <w:jc w:val="both"/>
              <w:rPr>
                <w:b/>
                <w:color w:val="auto"/>
                <w:sz w:val="22"/>
              </w:rPr>
            </w:pPr>
            <w:r w:rsidRPr="00A85B66">
              <w:rPr>
                <w:b/>
                <w:color w:val="auto"/>
                <w:sz w:val="22"/>
              </w:rPr>
              <w:lastRenderedPageBreak/>
              <w:t>НАШ ПІДХІД</w:t>
            </w:r>
          </w:p>
          <w:p w:rsidR="00A85B66" w:rsidRPr="00A85B66" w:rsidRDefault="00A85B66" w:rsidP="00A85B66">
            <w:pPr>
              <w:pStyle w:val="Bullet"/>
              <w:jc w:val="both"/>
              <w:rPr>
                <w:color w:val="auto"/>
                <w:sz w:val="22"/>
              </w:rPr>
            </w:pPr>
            <w:r w:rsidRPr="00A85B66">
              <w:rPr>
                <w:color w:val="auto"/>
                <w:sz w:val="22"/>
              </w:rPr>
              <w:t>Dentons представляє інтереси клієнтів фірми по всьому світу при здійсненні міжнародних злиттів і поглинань</w:t>
            </w:r>
            <w:bookmarkStart w:id="0" w:name="_GoBack"/>
            <w:bookmarkEnd w:id="0"/>
            <w:r w:rsidRPr="00A85B66">
              <w:rPr>
                <w:color w:val="auto"/>
                <w:sz w:val="22"/>
              </w:rPr>
              <w:t>, купівлі фінансовими інвесторами компаній за рахунок стороннього фінансування, корпоративних реструктуризацій. Наш міжнародний досвід і глибокі знання українського законодавства, а також індивідуальний підхід до клієнта дозволяє нам пропонувати вам інноваційні, ефективні юридичні рішення найвищої якості.</w:t>
            </w:r>
          </w:p>
          <w:p w:rsidR="00A85B66" w:rsidRPr="00A85B66" w:rsidRDefault="00A85B66" w:rsidP="00A85B66">
            <w:pPr>
              <w:pStyle w:val="Bullet"/>
              <w:spacing w:after="120"/>
              <w:jc w:val="both"/>
              <w:rPr>
                <w:color w:val="auto"/>
                <w:sz w:val="22"/>
              </w:rPr>
            </w:pPr>
            <w:r w:rsidRPr="00A85B66">
              <w:rPr>
                <w:color w:val="auto"/>
                <w:sz w:val="22"/>
              </w:rPr>
              <w:t xml:space="preserve">Ми працювали над декількома великими європейськими і іншими міжнародними транзакціями і регулярно надаємо консультації щодо злиттів, інвестування і відповідного податкового структурування в Європі і США. Ми здійснюємо особливо активну діяльність в СНД і центрально-східній Європі, з акцентом на інноваційних структурах капіталу. Ми надаємо підтримку приватним і державним компаніям, транснаціональним корпораціям, фінансовим установам, інвестиційним фондам, стартапам, приватним інвесторам і підприємцям з широкого кола питань.   </w:t>
            </w:r>
          </w:p>
          <w:p w:rsidR="00A85B66" w:rsidRPr="00A85B66" w:rsidRDefault="00A85B66" w:rsidP="00A85B66">
            <w:pPr>
              <w:pStyle w:val="Bullet"/>
              <w:spacing w:before="100" w:beforeAutospacing="1"/>
              <w:ind w:left="357" w:hanging="357"/>
              <w:jc w:val="both"/>
              <w:rPr>
                <w:color w:val="auto"/>
                <w:sz w:val="22"/>
              </w:rPr>
            </w:pPr>
            <w:r w:rsidRPr="00A85B66">
              <w:rPr>
                <w:color w:val="auto"/>
                <w:sz w:val="22"/>
              </w:rPr>
              <w:t xml:space="preserve">Ми тісно співпрацюємо з державними органами, консультантами, банкірами і іншими спеціалістами при розробці стратегій придбання і передачі корпоративних прав, стратегій оподаткування і планів реструктуризації з тим, щоб вирішити відповідні питання структурування та питання, пов’язані з антимонопольним законодавством.  Наші юристи спеціалізуються на переговорах і підготовці різного типу договорів злиття, а також всієї необхідної фінансової і супутньої документації. Наш великий досвід може бути корисним вам в організації і координуванні суттєвих, транскордонних транзакцій, включаючи масштабні юридичні оцінки.  </w:t>
            </w:r>
          </w:p>
          <w:p w:rsidR="00A85B66" w:rsidRPr="00A85B66" w:rsidRDefault="00A85B66" w:rsidP="00A85B66">
            <w:pPr>
              <w:pStyle w:val="Bullet"/>
              <w:jc w:val="both"/>
              <w:rPr>
                <w:color w:val="auto"/>
                <w:sz w:val="22"/>
              </w:rPr>
            </w:pPr>
            <w:r w:rsidRPr="00A85B66">
              <w:rPr>
                <w:color w:val="auto"/>
                <w:sz w:val="22"/>
              </w:rPr>
              <w:t xml:space="preserve">Юристи київського офісу Dentons регулярно приймають участь в переговорах від імені наших </w:t>
            </w:r>
            <w:r w:rsidRPr="00A85B66">
              <w:rPr>
                <w:color w:val="auto"/>
                <w:sz w:val="22"/>
              </w:rPr>
              <w:lastRenderedPageBreak/>
              <w:t>клієнтів з державними установами, такими як Фонд державного майна, Антимонопольний комітет, Національний банк і Державна комісія з цінних паперів і фондового ринку.</w:t>
            </w:r>
          </w:p>
          <w:p w:rsidR="00A85B66" w:rsidRPr="00A85B66" w:rsidRDefault="00A85B66" w:rsidP="00A85B66">
            <w:pPr>
              <w:pStyle w:val="Bullet"/>
              <w:jc w:val="both"/>
              <w:rPr>
                <w:color w:val="auto"/>
                <w:sz w:val="22"/>
              </w:rPr>
            </w:pPr>
            <w:r w:rsidRPr="00A85B66">
              <w:rPr>
                <w:color w:val="auto"/>
                <w:sz w:val="22"/>
              </w:rPr>
              <w:t>Dentons (раніше Salans) працює в Україні з 1988 року. Першою послугою, яку ми надали в Україні було надання юридичної підтримки транснаціональному клієнту в створенні одного з перших спільних підприємств в Україні. Київський офіс фірми було офіційно відкрито в 1992 році. З того часу наша українська практика інтенсивно розвивається і до нашої команди приєдналися юристи і партнери, які отримали освіту як в Україні, так і за кордоном, також, за необхідності, юристи з інших офісів фірми в Лондоні, Франкфурті, Нью-Йорку, Парижі і т.д., які беруть участь в роботі над проектами в Україні з тим, щоб найкращим чином задовольнити потреби наших клієнтів по всьому світу. На даний момент в нашому офісі в Києві працюють 27 юристів (в тому числі 7 партнерів), які надають консультації клієнтам стосовно питань українського законодавства.</w:t>
            </w:r>
          </w:p>
          <w:p w:rsidR="00A85B66" w:rsidRPr="00A85B66" w:rsidRDefault="00A85B66" w:rsidP="00A85B66">
            <w:pPr>
              <w:pStyle w:val="Bullet"/>
              <w:jc w:val="both"/>
              <w:rPr>
                <w:b/>
                <w:color w:val="auto"/>
                <w:sz w:val="22"/>
              </w:rPr>
            </w:pPr>
          </w:p>
          <w:p w:rsidR="00A85B66" w:rsidRPr="00A85B66" w:rsidRDefault="00A85B66" w:rsidP="00A85B66">
            <w:pPr>
              <w:pStyle w:val="Bullet"/>
              <w:numPr>
                <w:ilvl w:val="0"/>
                <w:numId w:val="0"/>
              </w:numPr>
              <w:spacing w:before="120"/>
              <w:ind w:left="357"/>
              <w:jc w:val="both"/>
              <w:rPr>
                <w:b/>
                <w:color w:val="auto"/>
                <w:sz w:val="22"/>
              </w:rPr>
            </w:pPr>
            <w:r w:rsidRPr="00A85B66">
              <w:rPr>
                <w:b/>
                <w:color w:val="auto"/>
                <w:sz w:val="22"/>
              </w:rPr>
              <w:t>НЕЗАЛЕЖНА ОЦІНКА</w:t>
            </w:r>
          </w:p>
          <w:p w:rsidR="00A85B66" w:rsidRPr="00A85B66" w:rsidRDefault="00A85B66" w:rsidP="00A85B66">
            <w:pPr>
              <w:pStyle w:val="Bullet"/>
              <w:jc w:val="both"/>
              <w:rPr>
                <w:bCs/>
                <w:i/>
                <w:color w:val="auto"/>
                <w:sz w:val="22"/>
              </w:rPr>
            </w:pPr>
            <w:r w:rsidRPr="00A85B66">
              <w:rPr>
                <w:color w:val="auto"/>
                <w:sz w:val="22"/>
              </w:rPr>
              <w:t xml:space="preserve">Наша практика у сфері корпоративного права / злиттів та поглинань має високу оцінку в рейтингах таких провідних міжнародних юридичних довідників як </w:t>
            </w:r>
            <w:r w:rsidRPr="00A85B66">
              <w:rPr>
                <w:i/>
                <w:color w:val="auto"/>
                <w:sz w:val="22"/>
              </w:rPr>
              <w:t>The</w:t>
            </w:r>
            <w:r w:rsidRPr="00A85B66">
              <w:rPr>
                <w:color w:val="auto"/>
                <w:sz w:val="22"/>
              </w:rPr>
              <w:t xml:space="preserve"> </w:t>
            </w:r>
            <w:r w:rsidRPr="00A85B66">
              <w:rPr>
                <w:i/>
                <w:color w:val="auto"/>
                <w:sz w:val="22"/>
              </w:rPr>
              <w:t xml:space="preserve">Legal 500, Chambers Global </w:t>
            </w:r>
            <w:r w:rsidRPr="00A85B66">
              <w:rPr>
                <w:color w:val="auto"/>
                <w:sz w:val="22"/>
              </w:rPr>
              <w:t xml:space="preserve">та </w:t>
            </w:r>
            <w:r w:rsidRPr="00A85B66">
              <w:rPr>
                <w:i/>
                <w:color w:val="auto"/>
                <w:sz w:val="22"/>
              </w:rPr>
              <w:t>Chambers Europe</w:t>
            </w:r>
            <w:r w:rsidRPr="00A85B66">
              <w:rPr>
                <w:color w:val="auto"/>
                <w:sz w:val="22"/>
              </w:rPr>
              <w:t xml:space="preserve">. Крім того, практика у сфері корпоративного права / злиттів та поглинань київського офісу регулярно отримує рекондації та високі оцінки від таких відомих міжнародних юридичних директорій як </w:t>
            </w:r>
            <w:r w:rsidRPr="00A85B66">
              <w:rPr>
                <w:i/>
                <w:color w:val="auto"/>
                <w:sz w:val="22"/>
              </w:rPr>
              <w:t xml:space="preserve">IFLR1000 </w:t>
            </w:r>
            <w:r w:rsidRPr="00A85B66">
              <w:rPr>
                <w:color w:val="auto"/>
                <w:sz w:val="22"/>
              </w:rPr>
              <w:t>та</w:t>
            </w:r>
            <w:r w:rsidRPr="00A85B66">
              <w:rPr>
                <w:i/>
                <w:color w:val="auto"/>
                <w:sz w:val="22"/>
              </w:rPr>
              <w:t xml:space="preserve"> </w:t>
            </w:r>
            <w:r w:rsidRPr="00A85B66">
              <w:rPr>
                <w:bCs/>
                <w:i/>
                <w:color w:val="auto"/>
                <w:sz w:val="22"/>
              </w:rPr>
              <w:t>PLC Which lawyer?</w:t>
            </w:r>
          </w:p>
          <w:p w:rsidR="00A85B66" w:rsidRPr="00A85B66" w:rsidRDefault="00A85B66" w:rsidP="00A85B66">
            <w:pPr>
              <w:pStyle w:val="Bullet"/>
              <w:jc w:val="both"/>
              <w:rPr>
                <w:iCs/>
                <w:color w:val="auto"/>
                <w:sz w:val="22"/>
              </w:rPr>
            </w:pPr>
            <w:r w:rsidRPr="00A85B66">
              <w:rPr>
                <w:iCs/>
                <w:color w:val="auto"/>
                <w:sz w:val="22"/>
              </w:rPr>
              <w:t>«Команда</w:t>
            </w:r>
            <w:r w:rsidRPr="00A85B66">
              <w:rPr>
                <w:color w:val="auto"/>
                <w:sz w:val="22"/>
              </w:rPr>
              <w:t xml:space="preserve"> </w:t>
            </w:r>
            <w:r w:rsidRPr="00A85B66">
              <w:rPr>
                <w:iCs/>
                <w:color w:val="auto"/>
                <w:sz w:val="22"/>
              </w:rPr>
              <w:t>Dentons</w:t>
            </w:r>
            <w:r w:rsidRPr="00A85B66">
              <w:rPr>
                <w:color w:val="auto"/>
                <w:sz w:val="22"/>
              </w:rPr>
              <w:t xml:space="preserve"> </w:t>
            </w:r>
            <w:r w:rsidRPr="00A85B66">
              <w:rPr>
                <w:iCs/>
                <w:color w:val="auto"/>
                <w:sz w:val="22"/>
              </w:rPr>
              <w:t>[</w:t>
            </w:r>
            <w:r w:rsidRPr="00A85B66">
              <w:rPr>
                <w:color w:val="auto"/>
                <w:sz w:val="22"/>
              </w:rPr>
              <w:t>у сфері корпоративного права / M&amp;A]</w:t>
            </w:r>
            <w:r w:rsidRPr="00A85B66">
              <w:rPr>
                <w:iCs/>
                <w:color w:val="auto"/>
                <w:sz w:val="22"/>
              </w:rPr>
              <w:t xml:space="preserve"> «орієнтована на клієнта» і надає «практичні поради». Маркіян Сілецький – «неперевершений». Очільник практики Олег Батюк та партнер Володимир Монастирський високо рекомендовані клієнтами». </w:t>
            </w:r>
            <w:r w:rsidRPr="00A85B66">
              <w:rPr>
                <w:iCs/>
                <w:color w:val="auto"/>
                <w:sz w:val="22"/>
              </w:rPr>
              <w:br/>
              <w:t xml:space="preserve">– </w:t>
            </w:r>
            <w:r w:rsidRPr="00A85B66">
              <w:rPr>
                <w:i/>
                <w:color w:val="auto"/>
                <w:sz w:val="22"/>
              </w:rPr>
              <w:t>The</w:t>
            </w:r>
            <w:r w:rsidRPr="00A85B66">
              <w:rPr>
                <w:color w:val="auto"/>
                <w:sz w:val="22"/>
              </w:rPr>
              <w:t xml:space="preserve"> </w:t>
            </w:r>
            <w:r w:rsidRPr="00A85B66">
              <w:rPr>
                <w:i/>
                <w:color w:val="auto"/>
                <w:sz w:val="22"/>
              </w:rPr>
              <w:t>Legal 500</w:t>
            </w:r>
            <w:r w:rsidRPr="00A85B66">
              <w:rPr>
                <w:iCs/>
                <w:color w:val="auto"/>
                <w:sz w:val="22"/>
              </w:rPr>
              <w:t>, 2014</w:t>
            </w:r>
          </w:p>
          <w:p w:rsidR="00A85B66" w:rsidRPr="00A85B66" w:rsidRDefault="00A85B66" w:rsidP="00A85B66">
            <w:pPr>
              <w:pStyle w:val="Bullet"/>
              <w:jc w:val="both"/>
              <w:rPr>
                <w:iCs/>
                <w:color w:val="auto"/>
                <w:sz w:val="22"/>
              </w:rPr>
            </w:pPr>
            <w:r w:rsidRPr="00A85B66">
              <w:rPr>
                <w:color w:val="auto"/>
                <w:sz w:val="22"/>
              </w:rPr>
              <w:lastRenderedPageBreak/>
              <w:t>«Олег Батюк – «дуже інтелігентний, досвідчений і надійний» юрист, говорять джерела на ринку. За словами клієнтів, він «один з найкращих корпоративних юристів в країні»».</w:t>
            </w:r>
            <w:r w:rsidRPr="00A85B66">
              <w:rPr>
                <w:iCs/>
                <w:color w:val="auto"/>
                <w:sz w:val="22"/>
              </w:rPr>
              <w:t xml:space="preserve"> </w:t>
            </w:r>
            <w:r w:rsidRPr="00A85B66">
              <w:rPr>
                <w:iCs/>
                <w:color w:val="auto"/>
                <w:sz w:val="22"/>
              </w:rPr>
              <w:br/>
              <w:t xml:space="preserve">– </w:t>
            </w:r>
            <w:r w:rsidRPr="00A85B66">
              <w:rPr>
                <w:i/>
                <w:iCs/>
                <w:color w:val="auto"/>
                <w:sz w:val="22"/>
              </w:rPr>
              <w:t>Chambers Global</w:t>
            </w:r>
            <w:r w:rsidRPr="00A85B66">
              <w:rPr>
                <w:iCs/>
                <w:color w:val="auto"/>
                <w:sz w:val="22"/>
              </w:rPr>
              <w:t>, 2014</w:t>
            </w:r>
          </w:p>
          <w:p w:rsidR="00A85B66" w:rsidRPr="00A85B66" w:rsidRDefault="00A85B66" w:rsidP="00A85B66">
            <w:pPr>
              <w:pStyle w:val="Bullet"/>
              <w:jc w:val="both"/>
              <w:rPr>
                <w:color w:val="auto"/>
                <w:sz w:val="22"/>
              </w:rPr>
            </w:pPr>
            <w:r w:rsidRPr="00A85B66">
              <w:rPr>
                <w:color w:val="auto"/>
                <w:sz w:val="22"/>
              </w:rPr>
              <w:t>«Цю сильну команду рекомендують за її значний досвід на ринку, вона постійно надає підтримку ряду вірних їй міжнародних клієнтів. … Фірма відома дуже сильною практикою в сфері нерухомості і активно надає послуги з сільськогосподарських і енергетичних проектів».</w:t>
            </w:r>
            <w:r w:rsidRPr="00A85B66">
              <w:rPr>
                <w:i/>
                <w:color w:val="auto"/>
                <w:sz w:val="22"/>
              </w:rPr>
              <w:t xml:space="preserve"> </w:t>
            </w:r>
            <w:r w:rsidRPr="00A85B66">
              <w:rPr>
                <w:color w:val="auto"/>
                <w:sz w:val="22"/>
              </w:rPr>
              <w:br/>
              <w:t xml:space="preserve">– </w:t>
            </w:r>
            <w:r w:rsidRPr="00A85B66">
              <w:rPr>
                <w:i/>
                <w:color w:val="auto"/>
                <w:sz w:val="22"/>
              </w:rPr>
              <w:t>Chambers Europe</w:t>
            </w:r>
            <w:r w:rsidRPr="00A85B66">
              <w:rPr>
                <w:color w:val="auto"/>
                <w:sz w:val="22"/>
              </w:rPr>
              <w:t>, 2013</w:t>
            </w:r>
          </w:p>
          <w:p w:rsidR="00A85B66" w:rsidRPr="00A85B66" w:rsidRDefault="00A85B66" w:rsidP="00A85B66">
            <w:pPr>
              <w:pStyle w:val="Bullet"/>
              <w:jc w:val="both"/>
              <w:rPr>
                <w:iCs/>
                <w:color w:val="auto"/>
                <w:sz w:val="22"/>
              </w:rPr>
            </w:pPr>
            <w:r w:rsidRPr="00A85B66">
              <w:rPr>
                <w:iCs/>
                <w:color w:val="auto"/>
                <w:sz w:val="22"/>
              </w:rPr>
              <w:t>«Dentons «показує хороші результати за всіма показниками, зокрема за здатністю інтегруватися з внутрішніми командами клієнтів». Олег Батюк і Маркіян Сілецький «дуже добре знаються на українському законодавстві»».</w:t>
            </w:r>
            <w:r w:rsidRPr="00A85B66">
              <w:rPr>
                <w:iCs/>
                <w:color w:val="auto"/>
                <w:sz w:val="22"/>
              </w:rPr>
              <w:br/>
              <w:t xml:space="preserve">– </w:t>
            </w:r>
            <w:r w:rsidRPr="00A85B66">
              <w:rPr>
                <w:i/>
                <w:color w:val="auto"/>
                <w:sz w:val="22"/>
              </w:rPr>
              <w:t>The</w:t>
            </w:r>
            <w:r w:rsidRPr="00A85B66">
              <w:rPr>
                <w:color w:val="auto"/>
                <w:sz w:val="22"/>
              </w:rPr>
              <w:t xml:space="preserve"> </w:t>
            </w:r>
            <w:r w:rsidRPr="00A85B66">
              <w:rPr>
                <w:i/>
                <w:color w:val="auto"/>
                <w:sz w:val="22"/>
              </w:rPr>
              <w:t>Legal 500</w:t>
            </w:r>
            <w:r w:rsidRPr="00A85B66">
              <w:rPr>
                <w:iCs/>
                <w:color w:val="auto"/>
                <w:sz w:val="22"/>
              </w:rPr>
              <w:t>, 2013</w:t>
            </w:r>
          </w:p>
          <w:p w:rsidR="00A85B66" w:rsidRPr="00A85B66" w:rsidRDefault="00A85B66" w:rsidP="00A85B66">
            <w:pPr>
              <w:pStyle w:val="Bullet"/>
              <w:jc w:val="both"/>
              <w:rPr>
                <w:color w:val="auto"/>
                <w:sz w:val="22"/>
              </w:rPr>
            </w:pPr>
            <w:r w:rsidRPr="00A85B66">
              <w:rPr>
                <w:bCs/>
                <w:color w:val="auto"/>
                <w:sz w:val="22"/>
              </w:rPr>
              <w:t>«</w:t>
            </w:r>
            <w:r w:rsidRPr="00A85B66">
              <w:rPr>
                <w:color w:val="auto"/>
                <w:sz w:val="22"/>
              </w:rPr>
              <w:t>За словами джерел: «Вони розуміють наші проблеми і надають вичерпні</w:t>
            </w:r>
            <w:r w:rsidRPr="00A85B66">
              <w:rPr>
                <w:iCs/>
                <w:color w:val="auto"/>
                <w:sz w:val="22"/>
              </w:rPr>
              <w:t xml:space="preserve"> </w:t>
            </w:r>
            <w:r w:rsidRPr="00A85B66">
              <w:rPr>
                <w:color w:val="auto"/>
                <w:sz w:val="22"/>
              </w:rPr>
              <w:t>відповіді». Мені сподобалось поєднання якості наданих послуг і їх вартості»».</w:t>
            </w:r>
            <w:r w:rsidRPr="00A85B66">
              <w:rPr>
                <w:i/>
                <w:color w:val="auto"/>
                <w:sz w:val="22"/>
              </w:rPr>
              <w:t xml:space="preserve"> </w:t>
            </w:r>
            <w:r w:rsidRPr="00A85B66">
              <w:rPr>
                <w:color w:val="auto"/>
                <w:sz w:val="22"/>
              </w:rPr>
              <w:br/>
              <w:t xml:space="preserve">– </w:t>
            </w:r>
            <w:r w:rsidRPr="00A85B66">
              <w:rPr>
                <w:i/>
                <w:color w:val="auto"/>
                <w:sz w:val="22"/>
              </w:rPr>
              <w:t>Chambers Europe</w:t>
            </w:r>
            <w:r w:rsidRPr="00A85B66">
              <w:rPr>
                <w:color w:val="auto"/>
                <w:sz w:val="22"/>
              </w:rPr>
              <w:t>, 2013</w:t>
            </w:r>
          </w:p>
          <w:p w:rsidR="00A85B66" w:rsidRPr="00A85B66" w:rsidRDefault="00A85B66" w:rsidP="00A85B66">
            <w:pPr>
              <w:pStyle w:val="Bullet"/>
              <w:jc w:val="both"/>
              <w:rPr>
                <w:color w:val="auto"/>
                <w:sz w:val="22"/>
              </w:rPr>
            </w:pPr>
            <w:r w:rsidRPr="00A85B66">
              <w:rPr>
                <w:color w:val="auto"/>
                <w:sz w:val="22"/>
              </w:rPr>
              <w:t xml:space="preserve">«Керуючий партнер </w:t>
            </w:r>
            <w:r w:rsidRPr="00A85B66">
              <w:rPr>
                <w:iCs/>
                <w:color w:val="auto"/>
                <w:sz w:val="22"/>
              </w:rPr>
              <w:t>Олег Батюк – один із найбільш досвідчених і видатних в Україні юристів, що спеціалізуються на транзакціях</w:t>
            </w:r>
            <w:r w:rsidRPr="00A85B66">
              <w:rPr>
                <w:color w:val="auto"/>
                <w:sz w:val="22"/>
              </w:rPr>
              <w:t>. «Він використав свої знання з практики на ринку, щоб вирішити наші питання», підтвердив клієнт».</w:t>
            </w:r>
            <w:r w:rsidRPr="00A85B66">
              <w:rPr>
                <w:i/>
                <w:color w:val="auto"/>
                <w:sz w:val="22"/>
              </w:rPr>
              <w:t xml:space="preserve"> </w:t>
            </w:r>
            <w:r w:rsidRPr="00A85B66">
              <w:rPr>
                <w:color w:val="auto"/>
                <w:sz w:val="22"/>
              </w:rPr>
              <w:br/>
              <w:t xml:space="preserve">– </w:t>
            </w:r>
            <w:r w:rsidRPr="00A85B66">
              <w:rPr>
                <w:i/>
                <w:color w:val="auto"/>
                <w:sz w:val="22"/>
              </w:rPr>
              <w:t>Chambers Global</w:t>
            </w:r>
            <w:r w:rsidRPr="00A85B66">
              <w:rPr>
                <w:color w:val="auto"/>
                <w:sz w:val="22"/>
              </w:rPr>
              <w:t>, 2013</w:t>
            </w:r>
          </w:p>
          <w:p w:rsidR="00A85B66" w:rsidRPr="00A85B66" w:rsidRDefault="00A85B66" w:rsidP="00A85B66">
            <w:pPr>
              <w:pStyle w:val="Bullet"/>
              <w:jc w:val="both"/>
              <w:rPr>
                <w:color w:val="auto"/>
                <w:sz w:val="22"/>
              </w:rPr>
            </w:pPr>
            <w:r w:rsidRPr="00A85B66">
              <w:rPr>
                <w:color w:val="auto"/>
                <w:sz w:val="22"/>
              </w:rPr>
              <w:t>«Мирон Богдан Рабій – «ветеран на ринку: у нього солідний досвід і він висококласний юрист». Віднедавна він відійшов від консультування щодо операцій з нерухомістю і переважно надає послуги щодо проектів в сфері енергетики».</w:t>
            </w:r>
            <w:r w:rsidRPr="00A85B66">
              <w:rPr>
                <w:i/>
                <w:color w:val="auto"/>
                <w:sz w:val="22"/>
              </w:rPr>
              <w:t xml:space="preserve"> </w:t>
            </w:r>
            <w:r w:rsidRPr="00A85B66">
              <w:rPr>
                <w:color w:val="auto"/>
                <w:sz w:val="22"/>
              </w:rPr>
              <w:br/>
              <w:t xml:space="preserve">– </w:t>
            </w:r>
            <w:r w:rsidRPr="00A85B66">
              <w:rPr>
                <w:i/>
                <w:color w:val="auto"/>
                <w:sz w:val="22"/>
              </w:rPr>
              <w:t>Chambers Global</w:t>
            </w:r>
            <w:r w:rsidRPr="00A85B66">
              <w:rPr>
                <w:color w:val="auto"/>
                <w:sz w:val="22"/>
              </w:rPr>
              <w:t>, 2013</w:t>
            </w:r>
          </w:p>
          <w:p w:rsidR="00A85B66" w:rsidRPr="00A85B66" w:rsidRDefault="00A85B66" w:rsidP="00A85B66">
            <w:pPr>
              <w:pStyle w:val="Bullet"/>
              <w:jc w:val="both"/>
              <w:rPr>
                <w:b/>
                <w:color w:val="auto"/>
                <w:sz w:val="22"/>
              </w:rPr>
            </w:pPr>
          </w:p>
          <w:p w:rsidR="00A85B66" w:rsidRPr="00A85B66" w:rsidRDefault="00A85B66" w:rsidP="00A85B66">
            <w:pPr>
              <w:pStyle w:val="Bullet"/>
              <w:jc w:val="both"/>
              <w:rPr>
                <w:b/>
                <w:color w:val="auto"/>
                <w:sz w:val="22"/>
              </w:rPr>
            </w:pPr>
            <w:r w:rsidRPr="00A85B66">
              <w:rPr>
                <w:b/>
                <w:color w:val="auto"/>
                <w:sz w:val="22"/>
              </w:rPr>
              <w:t>НАШ ДОСВІД</w:t>
            </w:r>
          </w:p>
          <w:p w:rsidR="00A85B66" w:rsidRPr="00A85B66" w:rsidRDefault="00A85B66" w:rsidP="00A85B66">
            <w:pPr>
              <w:pStyle w:val="Bullet"/>
              <w:jc w:val="both"/>
              <w:rPr>
                <w:color w:val="auto"/>
                <w:sz w:val="22"/>
              </w:rPr>
            </w:pPr>
            <w:r w:rsidRPr="00A85B66">
              <w:rPr>
                <w:b/>
                <w:color w:val="auto"/>
                <w:sz w:val="22"/>
              </w:rPr>
              <w:t>Російська паливна компанія ТВЕЛ</w:t>
            </w:r>
            <w:r w:rsidRPr="00A85B66">
              <w:rPr>
                <w:color w:val="auto"/>
                <w:sz w:val="22"/>
              </w:rPr>
              <w:t xml:space="preserve">, один із світових лідерів з виробництва ядерного палива </w:t>
            </w:r>
            <w:r w:rsidRPr="00A85B66">
              <w:rPr>
                <w:color w:val="auto"/>
                <w:sz w:val="22"/>
              </w:rPr>
              <w:lastRenderedPageBreak/>
              <w:t>і технологій (доля світового ринку 17%): Консультування у зв’язку із будівництвом заводу з виробництва ядерного палива в Україні. В рамках даного проекту юристи надають юридичні консультації клієнту стосовно різноманітних питань корпоративного права в Україні, включаючи створення акціонерного товариства «Завод з виробництва ядерного палива» в Україні (заснованого паливною компанією ТВЕЛ і українською компанією-партнером в даному проекті – Українським державним концерном «Ядерне паливо») підготовку Рамочного договору між сторонами і договору позики, правову допомогу стосовно питань корпоративного управління в Україні, а також питань конкурентного права у зв’язку із заснуванням спільного підприємства в Україні.</w:t>
            </w:r>
          </w:p>
          <w:p w:rsidR="00A85B66" w:rsidRPr="00A85B66" w:rsidRDefault="00A85B66" w:rsidP="00A85B66">
            <w:pPr>
              <w:pStyle w:val="Bullet"/>
              <w:jc w:val="both"/>
              <w:rPr>
                <w:color w:val="auto"/>
                <w:sz w:val="22"/>
              </w:rPr>
            </w:pPr>
            <w:r w:rsidRPr="00A85B66">
              <w:rPr>
                <w:b/>
                <w:color w:val="auto"/>
                <w:sz w:val="22"/>
              </w:rPr>
              <w:t>3P International Energy Corporation</w:t>
            </w:r>
            <w:r w:rsidRPr="00A85B66">
              <w:rPr>
                <w:color w:val="auto"/>
                <w:sz w:val="22"/>
              </w:rPr>
              <w:t>: Консультування у зв’язку із придбанням АТ «Тисагаз» на суму 17 млн. доларів США; проект включав юридичну оцінку цільової компанії, структурування транзакції і подання документів на затвердження Антимонопольним комітетом України.</w:t>
            </w:r>
          </w:p>
          <w:p w:rsidR="00A85B66" w:rsidRPr="00A85B66" w:rsidRDefault="00A85B66" w:rsidP="00A85B66">
            <w:pPr>
              <w:pStyle w:val="Bullet"/>
              <w:jc w:val="both"/>
              <w:rPr>
                <w:color w:val="auto"/>
                <w:sz w:val="22"/>
              </w:rPr>
            </w:pPr>
            <w:r w:rsidRPr="00A85B66">
              <w:rPr>
                <w:b/>
                <w:color w:val="auto"/>
                <w:sz w:val="22"/>
              </w:rPr>
              <w:t>Noble Group</w:t>
            </w:r>
            <w:r w:rsidRPr="00A85B66">
              <w:rPr>
                <w:color w:val="auto"/>
                <w:sz w:val="22"/>
              </w:rPr>
              <w:t>: Консультування у зв’язку із придбанням ТОВ «Белгравія», української компанії-власника зернового елеватора в Україні; дане придбання дозволить Noble Group розширити свої потужності зі зберігання і обробки зерна в Україні. Наші юристи надали підтримку клієнту в проведенні юридичної оцінки активів в Україні, підготовці документів з транзакції і закриттю транзакції.</w:t>
            </w:r>
          </w:p>
          <w:p w:rsidR="00A85B66" w:rsidRPr="00A85B66" w:rsidRDefault="00A85B66" w:rsidP="00A85B66">
            <w:pPr>
              <w:pStyle w:val="Bullet"/>
              <w:jc w:val="both"/>
              <w:rPr>
                <w:color w:val="auto"/>
                <w:sz w:val="22"/>
              </w:rPr>
            </w:pPr>
            <w:r w:rsidRPr="00A85B66">
              <w:rPr>
                <w:b/>
                <w:color w:val="auto"/>
                <w:sz w:val="22"/>
              </w:rPr>
              <w:t>Засновники Prime Group</w:t>
            </w:r>
            <w:r w:rsidRPr="00A85B66">
              <w:rPr>
                <w:color w:val="auto"/>
                <w:sz w:val="22"/>
              </w:rPr>
              <w:t>, один із провідних операторів зовнішньої реклами в Україні: Представництво інтересів у зв’язку із залученням інвестицій від фонду Europe Virgin Fund L.P. («EVF»), фонду прямих інвестицій, заснованого інвестиційною компанією Dragon Capital.</w:t>
            </w:r>
          </w:p>
        </w:tc>
      </w:tr>
    </w:tbl>
    <w:p w:rsidR="00BA4276" w:rsidRPr="00A85B66" w:rsidRDefault="00BA4276" w:rsidP="00A85B66">
      <w:pPr>
        <w:pStyle w:val="Bullet"/>
        <w:jc w:val="both"/>
        <w:rPr>
          <w:color w:val="auto"/>
          <w:sz w:val="22"/>
        </w:rPr>
      </w:pPr>
    </w:p>
    <w:sectPr w:rsidR="00BA4276" w:rsidRPr="00A85B66">
      <w:pgSz w:w="12240" w:h="15840"/>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F51B4"/>
    <w:multiLevelType w:val="multilevel"/>
    <w:tmpl w:val="7B8E6952"/>
    <w:styleLink w:val="Bullets"/>
    <w:lvl w:ilvl="0">
      <w:start w:val="1"/>
      <w:numFmt w:val="bullet"/>
      <w:pStyle w:val="Bullet"/>
      <w:lvlText w:val=""/>
      <w:lvlJc w:val="left"/>
      <w:pPr>
        <w:ind w:left="360" w:hanging="360"/>
      </w:pPr>
      <w:rPr>
        <w:rFonts w:ascii="Symbol" w:hAnsi="Symbol" w:cs="Times New Roman" w:hint="default"/>
        <w:color w:val="EEECE1" w:themeColor="background2"/>
      </w:rPr>
    </w:lvl>
    <w:lvl w:ilvl="1">
      <w:start w:val="1"/>
      <w:numFmt w:val="bullet"/>
      <w:lvlText w:val=""/>
      <w:lvlJc w:val="left"/>
      <w:pPr>
        <w:ind w:left="720" w:hanging="360"/>
      </w:pPr>
      <w:rPr>
        <w:rFonts w:ascii="Symbol" w:hAnsi="Symbol" w:cs="Times New Roman" w:hint="default"/>
        <w:color w:val="EEECE1" w:themeColor="background2"/>
      </w:rPr>
    </w:lvl>
    <w:lvl w:ilvl="2">
      <w:start w:val="1"/>
      <w:numFmt w:val="bullet"/>
      <w:lvlText w:val=""/>
      <w:lvlJc w:val="left"/>
      <w:pPr>
        <w:ind w:left="1080" w:hanging="360"/>
      </w:pPr>
      <w:rPr>
        <w:rFonts w:ascii="Symbol" w:hAnsi="Symbol" w:cs="Times New Roman" w:hint="default"/>
        <w:color w:val="EEECE1" w:themeColor="background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66"/>
    <w:rsid w:val="00006E91"/>
    <w:rsid w:val="00042BF1"/>
    <w:rsid w:val="00094B18"/>
    <w:rsid w:val="00137AF9"/>
    <w:rsid w:val="0016738E"/>
    <w:rsid w:val="001A0F36"/>
    <w:rsid w:val="001C07C6"/>
    <w:rsid w:val="001D15E2"/>
    <w:rsid w:val="001D5BE5"/>
    <w:rsid w:val="001F66D0"/>
    <w:rsid w:val="00200F31"/>
    <w:rsid w:val="002065DD"/>
    <w:rsid w:val="002424A0"/>
    <w:rsid w:val="00243327"/>
    <w:rsid w:val="00334753"/>
    <w:rsid w:val="00384679"/>
    <w:rsid w:val="00445C2F"/>
    <w:rsid w:val="004C1B62"/>
    <w:rsid w:val="005150A1"/>
    <w:rsid w:val="00590EB6"/>
    <w:rsid w:val="005A1C76"/>
    <w:rsid w:val="005E48EE"/>
    <w:rsid w:val="00606627"/>
    <w:rsid w:val="00622E1A"/>
    <w:rsid w:val="006D1568"/>
    <w:rsid w:val="00733CDA"/>
    <w:rsid w:val="00775C08"/>
    <w:rsid w:val="00796E71"/>
    <w:rsid w:val="007B7442"/>
    <w:rsid w:val="007B74FB"/>
    <w:rsid w:val="007F3376"/>
    <w:rsid w:val="00815357"/>
    <w:rsid w:val="00830C55"/>
    <w:rsid w:val="008F3538"/>
    <w:rsid w:val="009814A0"/>
    <w:rsid w:val="009825BF"/>
    <w:rsid w:val="009F7A6A"/>
    <w:rsid w:val="00A65332"/>
    <w:rsid w:val="00A85B66"/>
    <w:rsid w:val="00AA605D"/>
    <w:rsid w:val="00AA60CA"/>
    <w:rsid w:val="00AE0B28"/>
    <w:rsid w:val="00AF149F"/>
    <w:rsid w:val="00B60AE2"/>
    <w:rsid w:val="00BA4276"/>
    <w:rsid w:val="00BF1C47"/>
    <w:rsid w:val="00C41124"/>
    <w:rsid w:val="00C63898"/>
    <w:rsid w:val="00C84C4B"/>
    <w:rsid w:val="00C9246F"/>
    <w:rsid w:val="00CA4E00"/>
    <w:rsid w:val="00D73C8B"/>
    <w:rsid w:val="00D7776F"/>
    <w:rsid w:val="00DB3910"/>
    <w:rsid w:val="00DB5AA7"/>
    <w:rsid w:val="00DD66F0"/>
    <w:rsid w:val="00DE51FC"/>
    <w:rsid w:val="00ED4E72"/>
    <w:rsid w:val="00EF3136"/>
    <w:rsid w:val="00F26239"/>
    <w:rsid w:val="00FA0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66"/>
    <w:pPr>
      <w:spacing w:after="0"/>
    </w:pPr>
    <w:rPr>
      <w:rFonts w:eastAsiaTheme="minorEastAsia"/>
      <w:sz w:val="20"/>
      <w:szCs w:val="20"/>
      <w:lang w:val="uk-UA" w:eastAsia="ko-KR"/>
    </w:rPr>
  </w:style>
  <w:style w:type="paragraph" w:styleId="Heading1">
    <w:name w:val="heading 1"/>
    <w:basedOn w:val="Normal"/>
    <w:next w:val="BodyText"/>
    <w:link w:val="Heading1Char"/>
    <w:qFormat/>
    <w:rsid w:val="00A85B66"/>
    <w:pPr>
      <w:keepNext/>
      <w:spacing w:before="240" w:after="240"/>
      <w:outlineLvl w:val="0"/>
    </w:pPr>
    <w:rPr>
      <w:rFonts w:cs="Arial"/>
      <w:bCs/>
      <w:color w:val="EEECE1" w:themeColor="background2"/>
      <w:kern w:val="32"/>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B66"/>
    <w:rPr>
      <w:rFonts w:eastAsiaTheme="minorEastAsia" w:cs="Arial"/>
      <w:bCs/>
      <w:color w:val="EEECE1" w:themeColor="background2"/>
      <w:kern w:val="32"/>
      <w:sz w:val="32"/>
      <w:szCs w:val="48"/>
      <w:lang w:val="uk-UA" w:eastAsia="ko-KR"/>
    </w:rPr>
  </w:style>
  <w:style w:type="paragraph" w:styleId="BodyText">
    <w:name w:val="Body Text"/>
    <w:basedOn w:val="Normal"/>
    <w:link w:val="BodyTextChar"/>
    <w:rsid w:val="00A85B66"/>
    <w:pPr>
      <w:spacing w:after="240"/>
    </w:pPr>
    <w:rPr>
      <w:color w:val="1F497D" w:themeColor="text2"/>
    </w:rPr>
  </w:style>
  <w:style w:type="character" w:customStyle="1" w:styleId="BodyTextChar">
    <w:name w:val="Body Text Char"/>
    <w:basedOn w:val="DefaultParagraphFont"/>
    <w:link w:val="BodyText"/>
    <w:rsid w:val="00A85B66"/>
    <w:rPr>
      <w:rFonts w:eastAsiaTheme="minorEastAsia"/>
      <w:color w:val="1F497D" w:themeColor="text2"/>
      <w:sz w:val="20"/>
      <w:szCs w:val="20"/>
      <w:lang w:val="uk-UA" w:eastAsia="ko-KR"/>
    </w:rPr>
  </w:style>
  <w:style w:type="table" w:styleId="TableGrid">
    <w:name w:val="Table Grid"/>
    <w:basedOn w:val="TableNormal"/>
    <w:uiPriority w:val="59"/>
    <w:rsid w:val="00A85B66"/>
    <w:pPr>
      <w:spacing w:after="0"/>
    </w:pPr>
    <w:rPr>
      <w:rFonts w:eastAsiaTheme="minorEastAsia"/>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BodyText"/>
    <w:qFormat/>
    <w:rsid w:val="00A85B66"/>
    <w:pPr>
      <w:numPr>
        <w:numId w:val="1"/>
      </w:numPr>
      <w:spacing w:after="160"/>
    </w:pPr>
  </w:style>
  <w:style w:type="numbering" w:customStyle="1" w:styleId="Bullets">
    <w:name w:val="Bullets"/>
    <w:uiPriority w:val="99"/>
    <w:rsid w:val="00A85B66"/>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B66"/>
    <w:pPr>
      <w:spacing w:after="0"/>
    </w:pPr>
    <w:rPr>
      <w:rFonts w:eastAsiaTheme="minorEastAsia"/>
      <w:sz w:val="20"/>
      <w:szCs w:val="20"/>
      <w:lang w:val="uk-UA" w:eastAsia="ko-KR"/>
    </w:rPr>
  </w:style>
  <w:style w:type="paragraph" w:styleId="Heading1">
    <w:name w:val="heading 1"/>
    <w:basedOn w:val="Normal"/>
    <w:next w:val="BodyText"/>
    <w:link w:val="Heading1Char"/>
    <w:qFormat/>
    <w:rsid w:val="00A85B66"/>
    <w:pPr>
      <w:keepNext/>
      <w:spacing w:before="240" w:after="240"/>
      <w:outlineLvl w:val="0"/>
    </w:pPr>
    <w:rPr>
      <w:rFonts w:cs="Arial"/>
      <w:bCs/>
      <w:color w:val="EEECE1" w:themeColor="background2"/>
      <w:kern w:val="32"/>
      <w:sz w:val="32"/>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5B66"/>
    <w:rPr>
      <w:rFonts w:eastAsiaTheme="minorEastAsia" w:cs="Arial"/>
      <w:bCs/>
      <w:color w:val="EEECE1" w:themeColor="background2"/>
      <w:kern w:val="32"/>
      <w:sz w:val="32"/>
      <w:szCs w:val="48"/>
      <w:lang w:val="uk-UA" w:eastAsia="ko-KR"/>
    </w:rPr>
  </w:style>
  <w:style w:type="paragraph" w:styleId="BodyText">
    <w:name w:val="Body Text"/>
    <w:basedOn w:val="Normal"/>
    <w:link w:val="BodyTextChar"/>
    <w:rsid w:val="00A85B66"/>
    <w:pPr>
      <w:spacing w:after="240"/>
    </w:pPr>
    <w:rPr>
      <w:color w:val="1F497D" w:themeColor="text2"/>
    </w:rPr>
  </w:style>
  <w:style w:type="character" w:customStyle="1" w:styleId="BodyTextChar">
    <w:name w:val="Body Text Char"/>
    <w:basedOn w:val="DefaultParagraphFont"/>
    <w:link w:val="BodyText"/>
    <w:rsid w:val="00A85B66"/>
    <w:rPr>
      <w:rFonts w:eastAsiaTheme="minorEastAsia"/>
      <w:color w:val="1F497D" w:themeColor="text2"/>
      <w:sz w:val="20"/>
      <w:szCs w:val="20"/>
      <w:lang w:val="uk-UA" w:eastAsia="ko-KR"/>
    </w:rPr>
  </w:style>
  <w:style w:type="table" w:styleId="TableGrid">
    <w:name w:val="Table Grid"/>
    <w:basedOn w:val="TableNormal"/>
    <w:uiPriority w:val="59"/>
    <w:rsid w:val="00A85B66"/>
    <w:pPr>
      <w:spacing w:after="0"/>
    </w:pPr>
    <w:rPr>
      <w:rFonts w:eastAsiaTheme="minorEastAsia"/>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BodyText"/>
    <w:qFormat/>
    <w:rsid w:val="00A85B66"/>
    <w:pPr>
      <w:numPr>
        <w:numId w:val="1"/>
      </w:numPr>
      <w:spacing w:after="160"/>
    </w:pPr>
  </w:style>
  <w:style w:type="numbering" w:customStyle="1" w:styleId="Bullets">
    <w:name w:val="Bullets"/>
    <w:uiPriority w:val="99"/>
    <w:rsid w:val="00A85B6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1839</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Dentons</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Liudmila Parfeniuk</dc:creator>
  <cp:lastModifiedBy>Liudmila Parfeniuk</cp:lastModifiedBy>
  <cp:revision>1</cp:revision>
  <dcterms:created xsi:type="dcterms:W3CDTF">2014-05-28T09:01:00Z</dcterms:created>
  <dcterms:modified xsi:type="dcterms:W3CDTF">2014-05-28T09:13:00Z</dcterms:modified>
</cp:coreProperties>
</file>